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pBdr>
          <w:bottom w:val="single" w:sz="18" w:space="1" w:color="6A49E6"/>
        </w:pBdr>
      </w:pPr>
    </w:p>
    <w:p>
      <w:r>
        <w:rPr>
          <w:b/>
          <w:i w:val="0"/>
          <w:color w:val="1A1A1A"/>
          <w:sz w:val="44"/>
        </w:rPr>
        <w:t>LawHub</w:t>
      </w:r>
      <w:r>
        <w:rPr>
          <w:b w:val="0"/>
          <w:i w:val="0"/>
          <w:sz w:val="44"/>
        </w:rPr>
        <w:t xml:space="preserve">  ·  </w:t>
      </w:r>
      <w:r>
        <w:rPr>
          <w:b/>
          <w:i w:val="0"/>
          <w:color w:val="6A49E6"/>
          <w:sz w:val="44"/>
        </w:rPr>
        <w:t>Нейтральный аудит договора (Win-Win)</w:t>
      </w:r>
    </w:p>
    <w:p>
      <w:pPr>
        <w:spacing w:after="80"/>
      </w:pPr>
      <w:r>
        <w:rPr>
          <w:b w:val="0"/>
          <w:i w:val="0"/>
          <w:color w:val="62646E"/>
          <w:sz w:val="20"/>
        </w:rPr>
        <w:t>Документ: Образец: типовой договор поставки (обезличенный)</w:t>
      </w:r>
    </w:p>
    <w:p>
      <w:pPr>
        <w:spacing w:after="80"/>
      </w:pPr>
      <w:r>
        <w:rPr>
          <w:b w:val="0"/>
          <w:i w:val="0"/>
          <w:color w:val="62646E"/>
          <w:sz w:val="20"/>
        </w:rPr>
        <w:t>Стороны: Сторона 1 — Поставщик · Сторона 2 — Покупатель</w:t>
      </w:r>
    </w:p>
    <w:p>
      <w:r>
        <w:t>LawHub</w:t>
      </w:r>
    </w:p>
    <w:p>
      <w:pPr>
        <w:spacing w:before="320" w:after="80"/>
      </w:pPr>
      <w:r>
        <w:rPr>
          <w:b/>
          <w:i w:val="0"/>
          <w:color w:val="6A49E6"/>
          <w:sz w:val="36"/>
        </w:rPr>
        <w:t>1. Резюме аудита</w:t>
      </w:r>
    </w:p>
    <w:p>
      <w:r>
        <w:rPr>
          <w:b w:val="0"/>
          <w:i w:val="0"/>
          <w:sz w:val="24"/>
        </w:rPr>
        <w:t xml:space="preserve">Уровень риска: </w:t>
      </w:r>
      <w:r>
        <w:rPr>
          <w:b/>
          <w:i w:val="0"/>
          <w:color w:val="C23A3A"/>
          <w:sz w:val="24"/>
        </w:rPr>
        <w:t>Высокий</w:t>
      </w:r>
    </w:p>
    <w:p>
      <w:pPr>
        <w:spacing w:before="320" w:after="80"/>
      </w:pPr>
      <w:r>
        <w:rPr>
          <w:b/>
          <w:i w:val="0"/>
          <w:color w:val="6A49E6"/>
          <w:sz w:val="36"/>
        </w:rPr>
        <w:t>2. Реестр рисков</w:t>
      </w:r>
    </w:p>
    <w:p>
      <w:pPr>
        <w:spacing w:before="200"/>
      </w:pPr>
      <w:r>
        <w:rPr>
          <w:b/>
          <w:i w:val="0"/>
          <w:color w:val="1A1A1A"/>
          <w:sz w:val="24"/>
        </w:rPr>
        <w:t>1. Аванс удерживается целиком при отказе Покупателя по любой причине</w:t>
      </w:r>
      <w:r>
        <w:rPr>
          <w:b/>
          <w:i w:val="0"/>
          <w:color w:val="C23A3A"/>
          <w:sz w:val="22"/>
        </w:rPr>
        <w:t xml:space="preserve">  ·  Критично</w:t>
      </w:r>
      <w:r>
        <w:rPr>
          <w:b w:val="0"/>
          <w:i w:val="0"/>
          <w:color w:val="62646E"/>
          <w:sz w:val="20"/>
        </w:rPr>
        <w:t xml:space="preserve">  (п. 5.5)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Пункт позволяет Поставщику оставить всю предоплату при любом отказе Покупателя от договора, в том числе когда причина отказа — просрочка или брак со стороны самого Поставщика. Аванс превращается в скрытый штраф в размере 100% суммы предоплаты, не связанный с реальными убытками.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380, 381 ГК РФ (аванс и задаток различаются: при сомнении сумма считается авансом); ст. 487 ГК РФ (последствия непередачи предварительно оплаченного товара); ст. 1102 ГК РФ (неосновательное обогащение).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Ограничьте удержание фактическими и документально подтверждёнными расходами Поставщика; при вине Поставщика аванс возвращается в течение 5 рабочих дней. Так Поставщик защищён от необоснованного отказа, а Покупатель не рискует всей суммой.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2. Несимметричная неустойка: 0,5% в день с Покупателя против 0,01% с Поставщика</w:t>
      </w:r>
      <w:r>
        <w:rPr>
          <w:b/>
          <w:i w:val="0"/>
          <w:color w:val="6A49E6"/>
          <w:sz w:val="22"/>
        </w:rPr>
        <w:t xml:space="preserve">  ·  Высокий</w:t>
      </w:r>
      <w:r>
        <w:rPr>
          <w:b w:val="0"/>
          <w:i w:val="0"/>
          <w:color w:val="62646E"/>
          <w:sz w:val="20"/>
        </w:rPr>
        <w:t xml:space="preserve">  (п. 5.2)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Пеня за просрочку оплаты — 0,5% в день (около 182% годовых), пеня за просрочку поставки — 0,01% в день (около 3,6% годовых) и ограничена. Пятидесятикратный разрыв ставок при одинаковой природе нарушений создаёт устойчивый перекос и повышает риск судебного спора о размере неустойки.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330, 333 ГК РФ; разъяснения Постановления Пленума ВС РФ от 24.03.2016 № 7 (снижение неустойки; для предпринимателей — в исключительных случаях).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Установите единую ставку для обеих сторон на уровне рыночной практики (например, 0,1% в день) с потолком в процентах от суммы просроченного обязательства.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3. Одностороннее повышение цены Поставщиком с уведомлением за 3 дня</w:t>
      </w:r>
      <w:r>
        <w:rPr>
          <w:b/>
          <w:i w:val="0"/>
          <w:color w:val="6A49E6"/>
          <w:sz w:val="22"/>
        </w:rPr>
        <w:t xml:space="preserve">  ·  Высокий</w:t>
      </w:r>
      <w:r>
        <w:rPr>
          <w:b w:val="0"/>
          <w:i w:val="0"/>
          <w:color w:val="62646E"/>
          <w:sz w:val="20"/>
        </w:rPr>
        <w:t xml:space="preserve">  (п. 4.2)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Поставщик вправе менять цену в любой момент, уведомив Покупателя за три дня, без ограничения размера изменения и без права Покупателя отказаться от уже заказанных партий. Покупатель не может планировать бюджет и закупочные цены для своих клиентов.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424 п. 2 ГК РФ (изменение цены после заключения договора — в случаях и на условиях, предусмотренных договором); ст. 310 п. 2 ГК РФ (одностороннее изменение условий допускается в предпринимательском договоре); ст. 10 ГК РФ (недопустимость злоупотребления правом).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Допустите изменение цены только на будущие заявки, с уведомлением не менее чем за 30 дней и с потолком изменения в процентах; на уже принятые заявки действует прежняя цена.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4. Претензии по качеству принимаются только в течение 24 часов</w:t>
      </w:r>
      <w:r>
        <w:rPr>
          <w:b/>
          <w:i w:val="0"/>
          <w:color w:val="6A49E6"/>
          <w:sz w:val="22"/>
        </w:rPr>
        <w:t xml:space="preserve">  ·  Высокий</w:t>
      </w:r>
      <w:r>
        <w:rPr>
          <w:b w:val="0"/>
          <w:i w:val="0"/>
          <w:color w:val="62646E"/>
          <w:sz w:val="20"/>
        </w:rPr>
        <w:t xml:space="preserve">  (п. 6.4)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Если Покупатель не заявил о недостатках в течение суток после поставки, товар считается принятым без претензий. Скрытые дефекты, которые нельзя выявить внешним осмотром, невозможно заявить в такой срок, а риск таких дефектов целиком переходит на Покупателя.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483 ГК РФ (срок уведомления о нарушении условий о качестве — договорной, а при его отсутствии разумный); ст. 477 п. 2–3 ГК РФ (сроки обнаружения недостатков, гарантийный срок); ст. 513 ГК РФ (приёмка товара покупателем).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Разделите сроки: 5 рабочих дней на явные недостатки (количество, комплектность, видимые повреждения) и гарантийный срок на скрытые дефекты, с порядком фиксации акта.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5. Ответственность Поставщика ограничена 5% стоимости партии, упущенная выгода исключена</w:t>
      </w:r>
      <w:r>
        <w:rPr>
          <w:b/>
          <w:i w:val="0"/>
          <w:color w:val="9A5B00"/>
          <w:sz w:val="22"/>
        </w:rPr>
        <w:t xml:space="preserve">  ·  Средний</w:t>
      </w:r>
      <w:r>
        <w:rPr>
          <w:b w:val="0"/>
          <w:i w:val="0"/>
          <w:color w:val="62646E"/>
          <w:sz w:val="20"/>
        </w:rPr>
        <w:t xml:space="preserve">  (п. 7.1)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Максимальный размер ответственности Поставщика — 5% стоимости партии, упущенная выгода исключена полностью. Ответственность Покупателя за просрочку оплаты при этом не ограничена. При поставке брака Покупатель не сможет возместить даже прямые затраты на замену и простой.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15, 393 ГК РФ (полное возмещение убытков); ст. 400 ГК РФ (ограничение размера ответственности); ст. 401 п. 4 ГК РФ (ничтожность ограничения ответственности за умышленное нарушение).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Ограничьте ответственность обеих сторон одинаково — например, размером стоимости соответствующей партии, — исключив из лимита умышленные нарушения и возврат стоимости некачественного товара.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6. Право собственности переходит при оплате, а риск гибели — при отгрузке</w:t>
      </w:r>
      <w:r>
        <w:rPr>
          <w:b/>
          <w:i w:val="0"/>
          <w:color w:val="9A5B00"/>
          <w:sz w:val="22"/>
        </w:rPr>
        <w:t xml:space="preserve">  ·  Средний</w:t>
      </w:r>
      <w:r>
        <w:rPr>
          <w:b w:val="0"/>
          <w:i w:val="0"/>
          <w:color w:val="62646E"/>
          <w:sz w:val="20"/>
        </w:rPr>
        <w:t xml:space="preserve">  (п. 3.5)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Покупатель несёт риск случайной гибели или повреждения Товара с момента отгрузки, но собственником становится только после полной оплаты. В период доставки Покупатель отвечает за чужое имущество и не может застраховать его как собственник.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223 п. 1, ст. 211 ГК РФ (собственность и риск гибели, если иное не установлено договором); ст. 459 п. 1 ГК РФ (момент перехода риска); ст. 491 п. 1 ГК РФ (сохранение права собственности за продавцом до оплаты).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Совместите моменты перехода риска и права собственности либо оставьте оговорку о сохранении собственности за Поставщиком, но перенесите риск на Покупателя только с момента передачи Товара на его складе.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7. Односторонний отказ от договора предусмотрен только для Поставщика</w:t>
      </w:r>
      <w:r>
        <w:rPr>
          <w:b/>
          <w:i w:val="0"/>
          <w:color w:val="9A5B00"/>
          <w:sz w:val="22"/>
        </w:rPr>
        <w:t xml:space="preserve">  ·  Средний</w:t>
      </w:r>
      <w:r>
        <w:rPr>
          <w:b w:val="0"/>
          <w:i w:val="0"/>
          <w:color w:val="62646E"/>
          <w:sz w:val="20"/>
        </w:rPr>
        <w:t xml:space="preserve">  (п. 10.2)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Поставщик вправе расторгнуть договор в одностороннем порядке за 10 дней без объяснения причин. У Покупателя такого права нет, хотя он может оказаться зависим от постоянных поставок и вынужден будет искать замену в короткий срок.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310 п. 2, ст. 450.1 ГК РФ (право на односторонний отказ, предусмотренное договором); ст. 523 п. 2–3 ГК РФ (существенное нарушение договора поставки поставщиком и покупателем).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Предусмотрите зеркальное право на отказ для обеих сторон с уведомлением за 30 дней и обязанностью завершить уже принятые заявки.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8. Срок поставки не определён: «в разумный срок после получения заявки»</w:t>
      </w:r>
      <w:r>
        <w:rPr>
          <w:b/>
          <w:i w:val="0"/>
          <w:color w:val="9A5B00"/>
          <w:sz w:val="22"/>
        </w:rPr>
        <w:t xml:space="preserve">  ·  Средний</w:t>
      </w:r>
      <w:r>
        <w:rPr>
          <w:b w:val="0"/>
          <w:i w:val="0"/>
          <w:color w:val="62646E"/>
          <w:sz w:val="20"/>
        </w:rPr>
        <w:t xml:space="preserve">  (п. 2.3)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взаимные риски и споры для обеих сторон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Формулировка «разумный срок» не позволяет ни Покупателю потребовать поставки к конкретной дате, ни Поставщику заранее спланировать отгрузку. Просрочка поставки как основание для неустойки и отказа от договора недоказуема, что подрывает и пункты об ответственности.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506, 508 п. 1 ГК РФ (срок и периоды поставки); ст. 314 п. 2 ГК РФ (исполнение в разумный срок и семидневный срок после требования).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Win-Win: Укажите срок в календарных или рабочих днях с момента подтверждения заявки и определите порядок согласования графика поставки для партий.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9. Подсудность по месту нахождения Поставщика, досудебный порядок не описан</w:t>
      </w:r>
      <w:r>
        <w:rPr>
          <w:b/>
          <w:i w:val="0"/>
          <w:color w:val="1A5E8A"/>
          <w:sz w:val="22"/>
        </w:rPr>
        <w:t xml:space="preserve">  ·  Низкий</w:t>
      </w:r>
      <w:r>
        <w:rPr>
          <w:b w:val="0"/>
          <w:i w:val="0"/>
          <w:color w:val="62646E"/>
          <w:sz w:val="20"/>
        </w:rPr>
        <w:t xml:space="preserve">  (п. 9.1)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ущемляет Сторону 2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Все споры рассматриваются в арбитражном суде по месту нахождения Поставщика. Для Покупателя из другого региона это повышает стоимость участия в процессе. Порядок претензионного урегулирования в договоре не описан, при этом по денежным спорам он обязателен по закону.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37 АПК РФ (договорная подсудность); ст. 4 п. 5 АПК РФ (претензионный порядок по денежным требованиям — 30 календарных дней).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В интересах Покупатель: Установите подсудность по месту нахождения ответчика и опишите претензионный порядок: форму претензии, адрес и срок ответа.</w:t>
            </w:r>
          </w:p>
        </w:tc>
      </w:tr>
    </w:tbl>
    <w:p>
      <w:pPr>
        <w:spacing w:before="200"/>
      </w:pPr>
      <w:r>
        <w:rPr>
          <w:b/>
          <w:i w:val="0"/>
          <w:color w:val="1A1A1A"/>
          <w:sz w:val="24"/>
        </w:rPr>
        <w:t>10. Не указано, включён ли НДС в цену</w:t>
      </w:r>
      <w:r>
        <w:rPr>
          <w:b/>
          <w:i w:val="0"/>
          <w:color w:val="1A5E8A"/>
          <w:sz w:val="22"/>
        </w:rPr>
        <w:t xml:space="preserve">  ·  Низкий</w:t>
      </w:r>
      <w:r>
        <w:rPr>
          <w:b w:val="0"/>
          <w:i w:val="0"/>
          <w:color w:val="62646E"/>
          <w:sz w:val="20"/>
        </w:rPr>
        <w:t xml:space="preserve">  (п. 4.1)</w:t>
      </w:r>
    </w:p>
    <w:p>
      <w:pPr>
        <w:spacing w:after="40"/>
      </w:pPr>
      <w:r>
        <w:rPr>
          <w:b/>
          <w:i w:val="0"/>
          <w:color w:val="62646E"/>
          <w:sz w:val="20"/>
        </w:rPr>
        <w:t>Перекос: взаимные риски и споры для обеих сторон</w:t>
      </w:r>
    </w:p>
    <w:p>
      <w:pPr>
        <w:spacing w:after="80"/>
      </w:pPr>
      <w:r>
        <w:rPr>
          <w:b w:val="0"/>
          <w:i w:val="0"/>
          <w:color w:val="1A1A1A"/>
          <w:sz w:val="22"/>
        </w:rPr>
        <w:t>Цены названы в рублях без указания на НДС. Неясно, платит ли Покупатель налог сверх цены. Расхождение в толковании приводит к спорам об окончательной сумме и мешает бухгалтерскому учёту обеих сторон.</w:t>
      </w:r>
    </w:p>
    <w:p>
      <w:pPr>
        <w:spacing w:after="80"/>
      </w:pPr>
      <w:r>
        <w:rPr>
          <w:b w:val="0"/>
          <w:i/>
          <w:color w:val="1A1A1A"/>
          <w:sz w:val="20"/>
        </w:rPr>
        <w:t>Правовое основание: ст. 168 п. 1 НК РФ (налог предъявляется покупателю дополнительно к цене); разъяснения Постановления Пленума ВАС РФ от 30.05.2014 № 33.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8F5EF"/>
          </w:tcPr>
          <w:p>
            <w:r>
              <w:rPr>
                <w:b w:val="0"/>
                <w:i w:val="0"/>
                <w:color w:val="0E7452"/>
                <w:sz w:val="20"/>
              </w:rPr>
              <w:t>Win-Win: Зафиксируйте, что цена включает НДС по действующей ставке либо указана без НДС, и вынесите сумму налога отдельной строкой в счёте и накладной.</w:t>
            </w:r>
          </w:p>
        </w:tc>
      </w:tr>
    </w:tbl>
    <w:p>
      <w:pPr>
        <w:spacing w:before="320" w:after="80"/>
      </w:pPr>
      <w:r>
        <w:rPr>
          <w:b/>
          <w:i w:val="0"/>
          <w:color w:val="6A49E6"/>
          <w:sz w:val="36"/>
        </w:rPr>
        <w:t>3. Протокол разногласий (Redline)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E9E2FB"/>
          </w:tcPr>
          <w:p>
            <w:r/>
            <w:r>
              <w:rPr>
                <w:b/>
                <w:i w:val="0"/>
                <w:color w:val="6A49E6"/>
                <w:sz w:val="20"/>
              </w:rPr>
              <w:t>Пункт</w:t>
            </w:r>
          </w:p>
        </w:tc>
        <w:tc>
          <w:tcPr>
            <w:tcW w:type="dxa" w:w="3312"/>
            <w:shd w:val="clear" w:color="auto" w:fill="E9E2FB"/>
          </w:tcPr>
          <w:p>
            <w:r/>
            <w:r>
              <w:rPr>
                <w:b/>
                <w:i w:val="0"/>
                <w:color w:val="6A49E6"/>
                <w:sz w:val="20"/>
              </w:rPr>
              <w:t>Текущая редакция</w:t>
            </w:r>
          </w:p>
        </w:tc>
        <w:tc>
          <w:tcPr>
            <w:tcW w:type="dxa" w:w="3312"/>
            <w:shd w:val="clear" w:color="auto" w:fill="E8F5EF"/>
          </w:tcPr>
          <w:p>
            <w:r/>
            <w:r>
              <w:rPr>
                <w:b/>
                <w:i w:val="0"/>
                <w:color w:val="0E7452"/>
                <w:sz w:val="20"/>
              </w:rPr>
              <w:t>Предлагаемая редакция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5.5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При отказе Покупателя от исполнения Договора по любым основаниям сумма предварительной оплаты возврату не подлежит.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При отказе Покупателя от исполнения Договора без вины Поставщика Поставщик вправе удержать из суммы предварительной оплаты документально подтверждённые расходы, понесённые в связи с подготовкой партии Товара. Остаток возвращается в течение 5 (пяти) рабочих дней. При отказе по вине Поставщика предварительная оплата возвращается в полном объёме.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5.2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За просрочку оплаты Покупатель уплачивает пеню в размере 0,5% от неоплаченной суммы за каждый день просрочки. За просрочку поставки Поставщик уплачивает пеню в размере 0,01% от стоимости непоставленного Товара за каждый день просрочки, но не более 1% от его стоимости.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За просрочку исполнения денежного обязательства Покупатель, а за просрочку поставки Поставщик уплачивает пеню в размере 0,1% от суммы просроченного обязательства за каждый день просрочки, но не более 10% от этой суммы.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4.2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Поставщик вправе изменить цены на Товар, уведомив Покупателя за 3 (три) дня.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Поставщик вправе изменить цены на Товар для будущих заявок, уведомив Покупателя не менее чем за 30 (тридцать) календарных дней; изменение не может превышать 10% за один календарный год. На заявки, принятые Поставщиком до вступления изменения в силу, действует прежняя цена.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6.4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Претензии по качеству и количеству Товара принимаются в течение 24 часов с момента поставки. По истечении этого срока Товар считается принятым без замечаний.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Претензии по количеству, комплектности и видимым недостаткам Товара заявляются в течение 5 (пяти) рабочих дней с момента поставки. Претензии по скрытым недостаткам заявляются в течение гарантийного срока, установленного п. 7.3 Договора, в течение 10 рабочих дней с момента их обнаружения.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7.1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Ответственность Поставщика по Договору ограничивается 5% стоимости соответствующей партии Товара. Упущенная выгода не возмещается.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Совокупная ответственность каждой из Сторон по Договору ограничивается стоимостью партии Товара, в связи с которой возникло нарушение. Ограничение не применяется к умышленным нарушениям, а также к возврату стоимости Товара ненадлежащего качества.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3.5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Право собственности на Товар переходит к Покупателю после полной оплаты. Риск случайной гибели или повреждения Товара переходит к Покупателю с момента отгрузки.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Право собственности на Товар и риск его случайной гибели или повреждения переходят к Покупателю с момента подписания сторонами товарной накладной при передаче Товара. До этого момента риск несёт Поставщик.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10.2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Поставщик вправе отказаться от исполнения Договора, уведомив Покупателя за 10 (десять) дней.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Каждая из Сторон вправе отказаться от исполнения Договора, уведомив другую Сторону за 30 (тридцать) календарных дней. Заявки, принятые до даты уведомления, подлежат исполнению на условиях Договора.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2.3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Поставщик обязуется передать Товар Покупателю в разумный срок после получения заявки.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Поставщик обязуется передать Товар Покупателю в течение 10 (десяти) рабочих дней с даты подтверждения заявки. Поставка партиями осуществляется в соответствии с графиком, согласованным Сторонами в Спецификации.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9.1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Споры по Договору рассматриваются в Арбитражном суде по месту нахождения Поставщика.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Споры по Договору рассматриваются в Арбитражном суде по месту нахождения ответчика после соблюдения претензионного порядка. Претензия направляется в письменной форме на адрес, указанный в разделе «Реквизиты»; срок ответа — 30 (тридцать) календарных дней с даты получения.</w:t>
            </w:r>
          </w:p>
        </w:tc>
      </w:tr>
      <w:tr>
        <w:tc>
          <w:tcPr>
            <w:tcW w:type="dxa" w:w="3312"/>
            <w:shd w:val="clear" w:color="auto" w:fill="F2F2F5"/>
          </w:tcPr>
          <w:p>
            <w:r/>
            <w:r>
              <w:rPr>
                <w:b w:val="0"/>
                <w:i w:val="0"/>
                <w:sz w:val="20"/>
              </w:rPr>
              <w:t>п. 4.1</w:t>
            </w:r>
          </w:p>
        </w:tc>
        <w:tc>
          <w:tcPr>
            <w:tcW w:type="dxa" w:w="3312"/>
            <w:shd w:val="clear" w:color="auto" w:fill="FBF0F0"/>
          </w:tcPr>
          <w:p>
            <w:r/>
            <w:r>
              <w:rPr>
                <w:b w:val="0"/>
                <w:i w:val="0"/>
                <w:sz w:val="20"/>
              </w:rPr>
              <w:t>Цена Товара указывается в рублях в Спецификации.</w:t>
            </w:r>
          </w:p>
        </w:tc>
        <w:tc>
          <w:tcPr>
            <w:tcW w:type="dxa" w:w="3312"/>
            <w:shd w:val="clear" w:color="auto" w:fill="EDF8F2"/>
          </w:tcPr>
          <w:p>
            <w:r/>
            <w:r>
              <w:rPr>
                <w:b w:val="0"/>
                <w:i w:val="0"/>
                <w:sz w:val="20"/>
              </w:rPr>
              <w:t>Цена Товара указывается в рублях в Спецификации и включает НДС по ставке, действующей на дату отгрузки, если Спецификацией не предусмотрено иное. Сумма НДС выделяется отдельной строкой в счёте и товарной накладной.</w:t>
            </w:r>
          </w:p>
        </w:tc>
      </w:tr>
    </w:tbl>
    <w:p>
      <w:pPr>
        <w:spacing w:after="80"/>
      </w:pPr>
      <w:r>
        <w:rPr>
          <w:b w:val="0"/>
          <w:i/>
          <w:color w:val="62646E"/>
          <w:sz w:val="20"/>
        </w:rPr>
        <w:t>Обоснование: Удержание аванса допустимо лишь в пределах реальных расходов; иначе условие может быть признано неосновательным обогащением и создаёт спор при любом расторжении.</w:t>
      </w:r>
    </w:p>
    <w:p>
      <w:pPr>
        <w:spacing w:before="320" w:after="80"/>
      </w:pPr>
      <w:r>
        <w:rPr>
          <w:b/>
          <w:i w:val="0"/>
          <w:color w:val="6A49E6"/>
          <w:sz w:val="36"/>
        </w:rPr>
        <w:t>4. Отсутствующие критические клаузулы</w:t>
      </w:r>
    </w:p>
    <w:p>
      <w:pPr>
        <w:pStyle w:val="ListBullet"/>
      </w:pPr>
      <w:r>
        <w:rPr>
          <w:b w:val="0"/>
          <w:i w:val="0"/>
          <w:color w:val="9A5B00"/>
          <w:sz w:val="20"/>
        </w:rPr>
        <w:t>Форс-мажор</w:t>
      </w:r>
    </w:p>
    <w:p>
      <w:pPr>
        <w:pStyle w:val="ListBullet"/>
      </w:pPr>
      <w:r>
        <w:rPr>
          <w:b w:val="0"/>
          <w:i w:val="0"/>
          <w:color w:val="9A5B00"/>
          <w:sz w:val="20"/>
        </w:rPr>
        <w:t>Порядок расторжения</w:t>
      </w:r>
    </w:p>
    <w:p>
      <w:pPr>
        <w:spacing w:before="200"/>
      </w:pPr>
      <w:r>
        <w:rPr>
          <w:i w:val="0"/>
          <w:color w:val="62646E"/>
          <w:sz w:val="18"/>
        </w:rPr>
        <w:t>Демонстрационный отчёт. Подготовлен на обезличенном типовом договоре поставки: в нём нет данных реальных компаний и контрагентов. Показывает формат итогового документа LawHub.pro: реестр рисков, правовое основание, протокол разногласий и отсутствующие клаузулы.</w:t>
      </w:r>
    </w:p>
    <w:p>
      <w:pPr>
        <w:spacing w:before="200"/>
      </w:pPr>
      <w:r>
        <w:rPr>
          <w:i/>
          <w:color w:val="62646E"/>
          <w:sz w:val="18"/>
        </w:rPr>
        <w:t>Аналитический отчёт носит информационный характер и не является юридической консультацией. Перед принятием юридически значимых решений обратитесь к квалифицированному юристу.</w:t>
      </w:r>
    </w:p>
    <w:sectPr w:rsidR="00FC693F" w:rsidRPr="0006063C" w:rsidSect="00034616">
      <w:pgSz w:w="12240" w:h="15840"/>
      <w:pgMar w:top="1008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